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ind w:left="597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Утверждена</w:t>
      </w:r>
    </w:p>
    <w:p w:rsidR="00000000" w:rsidDel="00000000" w:rsidP="00000000" w:rsidRDefault="00000000" w:rsidRPr="00000000" w14:paraId="00000003">
      <w:pPr>
        <w:spacing w:after="160" w:line="259" w:lineRule="auto"/>
        <w:ind w:left="597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Приказом Генерального директора</w:t>
      </w:r>
    </w:p>
    <w:p w:rsidR="00000000" w:rsidDel="00000000" w:rsidP="00000000" w:rsidRDefault="00000000" w:rsidRPr="00000000" w14:paraId="00000004">
      <w:pPr>
        <w:spacing w:after="160" w:line="259" w:lineRule="auto"/>
        <w:ind w:left="597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Общества с ограниченной ответственностью «РУ-ВЕБ. ИНВЕСТИЦИИ» </w:t>
      </w:r>
    </w:p>
    <w:p w:rsidR="00000000" w:rsidDel="00000000" w:rsidP="00000000" w:rsidRDefault="00000000" w:rsidRPr="00000000" w14:paraId="00000005">
      <w:pPr>
        <w:spacing w:after="160" w:line="259" w:lineRule="auto"/>
        <w:ind w:left="5977" w:firstLine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21 декабря 2021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960" w:before="1440" w:line="360" w:lineRule="auto"/>
        <w:jc w:val="center"/>
        <w:rPr>
          <w:b w:val="1"/>
          <w:color w:val="000000"/>
          <w:sz w:val="48"/>
          <w:szCs w:val="48"/>
        </w:rPr>
      </w:pP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Условия переноса (трансфера) доменных имен к иному регистратору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60" w:before="60" w:lineRule="auto"/>
        <w:ind w:left="284" w:hanging="28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60" w:before="60" w:lineRule="auto"/>
        <w:ind w:left="284" w:hanging="28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60" w:before="60" w:lineRule="auto"/>
        <w:ind w:left="0"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60" w:before="60" w:lineRule="auto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60" w:before="60" w:lineRule="auto"/>
        <w:ind w:left="284" w:hanging="28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Москва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ОБЩИЕ ПОЛОЖЕНИЯ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Настоящие Условия переноса (трансфера) доменных имен к иному регистратору (далее – «</w:t>
      </w:r>
      <w:r w:rsidDel="00000000" w:rsidR="00000000" w:rsidRPr="00000000">
        <w:rPr>
          <w:b w:val="1"/>
          <w:sz w:val="22"/>
          <w:szCs w:val="22"/>
          <w:rtl w:val="0"/>
        </w:rPr>
        <w:t xml:space="preserve">Условия</w:t>
      </w:r>
      <w:r w:rsidDel="00000000" w:rsidR="00000000" w:rsidRPr="00000000">
        <w:rPr>
          <w:sz w:val="22"/>
          <w:szCs w:val="22"/>
          <w:rtl w:val="0"/>
        </w:rPr>
        <w:t xml:space="preserve">») распространяются на дочерние компании Общества с ограниченной ответственностью «РУ-ВЕБ. ИНВЕСТИЦИИ» (далее – «</w:t>
      </w:r>
      <w:r w:rsidDel="00000000" w:rsidR="00000000" w:rsidRPr="00000000">
        <w:rPr>
          <w:b w:val="1"/>
          <w:sz w:val="22"/>
          <w:szCs w:val="22"/>
          <w:rtl w:val="0"/>
        </w:rPr>
        <w:t xml:space="preserve">Общество</w:t>
      </w:r>
      <w:r w:rsidDel="00000000" w:rsidR="00000000" w:rsidRPr="00000000">
        <w:rPr>
          <w:sz w:val="22"/>
          <w:szCs w:val="22"/>
          <w:rtl w:val="0"/>
        </w:rPr>
        <w:t xml:space="preserve">»), осуществляющие деятельность в сфере оказания услуг регистрации доменных имен второго уровня в сети «Интернет» в зонах .RU, .РФ и/или .SU и аккредитованные соответствующими национальными регистратурами (заключившие соглашения об аккредитации с соответствующей национальной регистратурой), а именно: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70" w:hanging="410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АО «РСИЦ» (ИНН 7733573894);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70" w:hanging="41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«Регистратор Р01» (ИНН 7728365391);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70" w:hanging="41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«СпейсВэб» (ИНН 7813376370);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«РЕГ.РУ Домены Хостинг» (ИНН 6312068502);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«Специальный регистратор доменных имен и почтовых сервисов» (ИНН 7714666310);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«Бестрег» (ИНН 6316268823);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«Бигрег» (ИНН 6316271463);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«Вебрег» (ИНН 7714465815);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«Доменхост» (ИНН 6316268710);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«Кликрег» (ИНН 7714465822);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«Кликхост» (ИНН 7714465526);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«Опенрег» (ИНН 6316268728);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«Примахост» (ИНН 7714465808);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«Телехост» (ИНН 6316271431);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«Доменсервис» (ИНН 6316265163);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«Телеборд» (ИНН 6316264956);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«Топдомен» (ИНН 6316264970);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АО «Система дата-центров» (ИНН 7716830904);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«2ДОМЕЙНС.РУ» (ИНН 7714592700);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ООО «Регистратор доменных имен РЕГ.РУ» (ИНН 7733568767),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(далее совместно – «</w:t>
      </w:r>
      <w:r w:rsidDel="00000000" w:rsidR="00000000" w:rsidRPr="00000000">
        <w:rPr>
          <w:b w:val="1"/>
          <w:sz w:val="22"/>
          <w:szCs w:val="22"/>
          <w:rtl w:val="0"/>
        </w:rPr>
        <w:t xml:space="preserve">Регистраторы</w:t>
      </w:r>
      <w:r w:rsidDel="00000000" w:rsidR="00000000" w:rsidRPr="00000000">
        <w:rPr>
          <w:sz w:val="22"/>
          <w:szCs w:val="22"/>
          <w:rtl w:val="0"/>
        </w:rPr>
        <w:t xml:space="preserve">»).</w:t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Условия переноса (трансфера) доменных имен к иному регистратору в зонах .RU, .РФ и .SU строго регламентированы национальными регистратурами доменных имен верхнего уровня .RU, .РФ и .SU – Координационным центром доменов .RU/.РФ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sz w:val="22"/>
          <w:szCs w:val="22"/>
          <w:rtl w:val="0"/>
        </w:rPr>
        <w:t xml:space="preserve"> (далее – «</w:t>
      </w:r>
      <w:r w:rsidDel="00000000" w:rsidR="00000000" w:rsidRPr="00000000">
        <w:rPr>
          <w:b w:val="1"/>
          <w:sz w:val="22"/>
          <w:szCs w:val="22"/>
          <w:rtl w:val="0"/>
        </w:rPr>
        <w:t xml:space="preserve">Координатор .RU и .РФ</w:t>
      </w:r>
      <w:r w:rsidDel="00000000" w:rsidR="00000000" w:rsidRPr="00000000">
        <w:rPr>
          <w:sz w:val="22"/>
          <w:szCs w:val="22"/>
          <w:rtl w:val="0"/>
        </w:rPr>
        <w:t xml:space="preserve">») и АНО «РосНИИРОС»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sz w:val="22"/>
          <w:szCs w:val="22"/>
          <w:rtl w:val="0"/>
        </w:rPr>
        <w:t xml:space="preserve"> (далее – «</w:t>
      </w:r>
      <w:r w:rsidDel="00000000" w:rsidR="00000000" w:rsidRPr="00000000">
        <w:rPr>
          <w:b w:val="1"/>
          <w:sz w:val="22"/>
          <w:szCs w:val="22"/>
          <w:rtl w:val="0"/>
        </w:rPr>
        <w:t xml:space="preserve">Регистратура .SU</w:t>
      </w:r>
      <w:r w:rsidDel="00000000" w:rsidR="00000000" w:rsidRPr="00000000">
        <w:rPr>
          <w:sz w:val="22"/>
          <w:szCs w:val="22"/>
          <w:rtl w:val="0"/>
        </w:rPr>
        <w:t xml:space="preserve">») соответственно.</w:t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Регистраторы обязаны в течение всего срока аккредитации соблюдать Правила регистрации доменных имен в доменах .RU и .РФ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sz w:val="22"/>
          <w:szCs w:val="22"/>
          <w:rtl w:val="0"/>
        </w:rPr>
        <w:t xml:space="preserve"> (далее – «</w:t>
      </w:r>
      <w:r w:rsidDel="00000000" w:rsidR="00000000" w:rsidRPr="00000000">
        <w:rPr>
          <w:b w:val="1"/>
          <w:sz w:val="22"/>
          <w:szCs w:val="22"/>
          <w:rtl w:val="0"/>
        </w:rPr>
        <w:t xml:space="preserve">Правила .RU/.РФ</w:t>
      </w:r>
      <w:r w:rsidDel="00000000" w:rsidR="00000000" w:rsidRPr="00000000">
        <w:rPr>
          <w:sz w:val="22"/>
          <w:szCs w:val="22"/>
          <w:rtl w:val="0"/>
        </w:rPr>
        <w:t xml:space="preserve">») и Правила регистрации доменных имен в домене .SU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sz w:val="22"/>
          <w:szCs w:val="22"/>
          <w:rtl w:val="0"/>
        </w:rPr>
        <w:t xml:space="preserve"> (далее – «</w:t>
      </w:r>
      <w:r w:rsidDel="00000000" w:rsidR="00000000" w:rsidRPr="00000000">
        <w:rPr>
          <w:b w:val="1"/>
          <w:sz w:val="22"/>
          <w:szCs w:val="22"/>
          <w:rtl w:val="0"/>
        </w:rPr>
        <w:t xml:space="preserve">Правила .SU</w:t>
      </w:r>
      <w:r w:rsidDel="00000000" w:rsidR="00000000" w:rsidRPr="00000000">
        <w:rPr>
          <w:sz w:val="22"/>
          <w:szCs w:val="22"/>
          <w:rtl w:val="0"/>
        </w:rPr>
        <w:t xml:space="preserve">»). При совместном упоминании Правила .RU/.РФ и Правила .SU именуются «Правила».</w:t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Указанные документы отражают обязательные к исполнению условия и требования касательно: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перехода пользователей (передачи/переноса поддержки (трансфера) доменных имен) к другим регистраторам,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регистрации и продления регистрации доменных имен второго уровня,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недопущения навязывания услуг, не относящихся к услугам регистрации и продления регистрации доменных имен второго уровня,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прозрачности, недискриминационности и отсутствия неопределенного усмотрения регистратора ко всем пользователям,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перепродажи услуг регистраторов, которые не содержат ограничений осуществления предпринимательской деятельности партнеров и реселлеров,</w:t>
      </w:r>
    </w:p>
    <w:p w:rsidR="00000000" w:rsidDel="00000000" w:rsidP="00000000" w:rsidRDefault="00000000" w:rsidRPr="00000000" w14:paraId="00000033">
      <w:pPr>
        <w:spacing w:before="120" w:line="276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а также содержат иные условия, указанные в документах.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Условия переноса (трансфера) доменных имен к иному регистратору также в полной мере соответствуют положениям Коммерческой политики Общества и его дочерних хозяйственных обществ в части услуг регистрации и продления регистрации доменных имен второго уровня в доменах верхнего уровня .RU, .SU, .РФ. в сети «Интернет» (далее – «Коммерческая политика»), а именно отражают принципы и направлены на достижение целей, установленных Коммерческой политикой: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обеспечение равного и недискриминационного отношения к администраторам доменных имен;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обеспечение соблюдения высоких стандартов деловой и профессиональной этики;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before="120" w:lineRule="auto"/>
        <w:ind w:left="720" w:hanging="36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предупреждение создания препятствий для пользователей, желающих осуществить передачу/перенос поддержки (трансфер) доменных имен к другим регистраторам.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Соблюдение Регистраторами соответствующих Правил, а также иных Регламентирующих документов национальных регистратур контролируется Координатором .RU и .РФ и Регистратурой .SU путем осуществления плановых и внеплановых проверок. В случае выявления несоответствия положений собственных документов и процедур аккредитованного регистратора требованиям Регламентирующих документов ему выносится предписание о необходимости внесения соответствующих изменений.</w:t>
      </w:r>
    </w:p>
    <w:p w:rsidR="00000000" w:rsidDel="00000000" w:rsidP="00000000" w:rsidRDefault="00000000" w:rsidRPr="00000000" w14:paraId="0000003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Таким образом, условия переноса (трансфера) доменных имен к иному регистратору  определяются обязательными (в том числе для Регистраторов) Правилами, Коммерческой политикой и договором об оказании услуг, заключаемым между соответствующим Регистратором и каждым администратором доменного имени. При этом прозрачность и недискриминационность данной процедуры обеспечивается равенством условий оказания услуг администраторам доменных имен, а также абсолютным приоритетом Правил, которые являются составной частью договора об оказании услуг. </w:t>
      </w:r>
    </w:p>
    <w:p w:rsidR="00000000" w:rsidDel="00000000" w:rsidP="00000000" w:rsidRDefault="00000000" w:rsidRPr="00000000" w14:paraId="0000003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Согласно п. 2.3. Правил .RU/.РФ и п. 2.9. Правил .SU заключаемый договор об оказании услуг является публичным и открыто размещен на официальном веб-сайте каждого из Регистраторов.</w:t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Настоящие Условия являются исчерпывающими. Регистраторы не вправе устанавливать иные (в т. ч. собственные) условия переноса (трансфера) доменных имен к иному регистратору.</w:t>
      </w:r>
    </w:p>
    <w:p w:rsidR="00000000" w:rsidDel="00000000" w:rsidP="00000000" w:rsidRDefault="00000000" w:rsidRPr="00000000" w14:paraId="0000004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УСЛОВИЯ ПЕРЕНОСА (ТРАНСФЕРА) ДОМЕННЫХ ИМЕН К ИНОМУ РЕГИСТРАТОРУ</w:t>
      </w:r>
    </w:p>
    <w:p w:rsidR="00000000" w:rsidDel="00000000" w:rsidP="00000000" w:rsidRDefault="00000000" w:rsidRPr="00000000" w14:paraId="00000043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Передача поддержки доменных имен в доменах верхнего уровня .RU и .РФ от Регистраторов иным аккредитованным в доменах .RU и .РФ регистраторам осуществляется в порядке и на условиях, установленных утвержденным Координатором .RU и .РФ Регламентом «О процедуре, подлежащей применению при передаче поддержки сведений о доменном имени между регистраторами»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sz w:val="22"/>
          <w:szCs w:val="22"/>
          <w:rtl w:val="0"/>
        </w:rPr>
        <w:t xml:space="preserve">, а доменных имен в домене верхнего уровня .SU от Регистраторов иным аккредитованным в домене .SU регистраторам – в соответствии с Регламентом передачи поддержки сведений о доменном имени между регистраторами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sz w:val="22"/>
          <w:szCs w:val="22"/>
          <w:rtl w:val="0"/>
        </w:rPr>
        <w:t xml:space="preserve">, утвержденным Регистратурой .SU.</w:t>
      </w:r>
    </w:p>
    <w:p w:rsidR="00000000" w:rsidDel="00000000" w:rsidP="00000000" w:rsidRDefault="00000000" w:rsidRPr="00000000" w14:paraId="00000045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 любой момент в течение срока регистрации доменного имени его администратор вправе осуществить передачу поддержки сведений о доменном имени другому регистратору, т.е. по собственной инициативе сменить регистратора на любого другого из числа аккредитованных Координатором .RU/.РФ или Регистратурой .SU соответственно. В соответствии с положениями вышеуказанных Регламентирующих документов, Регистраторы устанавливают для администраторов доменных имен равные условия и требования, связанные с процедурами передачи поддержки доменов. Регистраторы вправе отказать администратору в удовлетворении заявки (либо прекратить уже инициированную процедуру передачи) только по основаниям, закрытый перечень которых установлен Правилами и Регламентирующими документами, а именно:</w:t>
      </w:r>
    </w:p>
    <w:p w:rsidR="00000000" w:rsidDel="00000000" w:rsidP="00000000" w:rsidRDefault="00000000" w:rsidRPr="00000000" w14:paraId="00000047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если истек срок регистрации домена .SU / до окончания срока регистрации домена .RU/.РФ осталось менее 7 (семи) дней;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течение 30 (.RU/.РФ) / 60 (.SU) дней с момента смены администратора (получения администратором права администрирования от другого лица);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течение 30 (тридцати) дней с момента предыдущей смены регистратора;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отношении доменного имени установлены судебные или досудебные ограничения;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случае непредоставления администратором сведений и документов, подтверждающих корректность информации об администраторе в соответствующем Реестре, и/или при возникновении обоснованного спора, связанного с действительностью данных администратора.</w:t>
      </w:r>
    </w:p>
    <w:p w:rsidR="00000000" w:rsidDel="00000000" w:rsidP="00000000" w:rsidRDefault="00000000" w:rsidRPr="00000000" w14:paraId="0000004D">
      <w:pPr>
        <w:widowControl w:val="0"/>
        <w:ind w:firstLine="567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Во всех иных случаях Регистраторы в обязательном порядке выполняют действия, необходимые для удовлетворения соответствующей заявки администратора доменного имени о переходе к иному регистратору, без какой-либо дискриминации или выборочного применения положений Регламентирующих документов. Вышеуказанные действия могут осуществляться различными способами, предусмотренными Регламентирующими документами, по усмотрению администратора домена, в том числе полностью удаленно – с помощью сети «Интернет», без необходимости личного посещения офиса Регистратора.</w:t>
      </w:r>
    </w:p>
    <w:p w:rsidR="00000000" w:rsidDel="00000000" w:rsidP="00000000" w:rsidRDefault="00000000" w:rsidRPr="00000000" w14:paraId="0000004F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jc w:val="both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В соответствии с Регламентирующими документами Координатора .RU/.РФ процедура переноса (трансфера) доменных имен второго уровня в доменах .RU и .РФ к иному регистратору осуществляется следующим образом:</w:t>
      </w:r>
    </w:p>
    <w:p w:rsidR="00000000" w:rsidDel="00000000" w:rsidP="00000000" w:rsidRDefault="00000000" w:rsidRPr="00000000" w14:paraId="0000005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Администратор направляет Регистратору заявку на передачу поддержки сведений о доменном имени. Заявка, направляется в электронной форме, с использованием функционала веб-сайтов Регистраторов, и представляет собой запрос на получение AuthInfo-кода (кода переноса, необходимого для осуществления процедуры). При формировании заявки администратор указывает способ выдачи AuthInfo-кода (по электронной почте, путем направления SMS, в офисе Регистратора), а также номер телефона с функцией приема SMS и адрес электронной почты, предназначенные для проведения процедуры.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Регистратор проверяет наличие ограничений, препятствующих осуществлению процедуры, в том числе возможность связи с администратором по предоставленным при направлении заявки контактным данным, и при необходимости запрашивает у администратора недостающие сведения или документы.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случае отсутствия препятствий и ограничений, Регистратор в течение 3 (трех) рабочих дней предоставляет администратору AuthInfo-код выбранным администратором способом. В течение 20 (двадцати) календарных дней администратор вправе сообщить полученный от Регистратора AuthInfo-код иному регистратору для проведения процедуры передачи поддержки сведений (смены регистратора).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случае инициирования процедуры в Реестре принимающим регистратором, текущий Регистратор (регистратор-донор) получает соответствующее уведомление и в течение 5 (пяти) календарных дней одобряет передачу поддержки сведений о доменном имени. Отказ в трансфере допустим только по ранее изложенным основаниям, установленным Правилами и Регламентирующими документами.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С момента получения Реестром подтверждения от регистратора-донора, либо по истечении 5 (пяти) календарных дней в случае отсутствия отказа регистратора-донора в трансфере, в Реестр вносятся соответствующие изменения, и процедура считается завершенной.</w:t>
      </w:r>
    </w:p>
    <w:p w:rsidR="00000000" w:rsidDel="00000000" w:rsidP="00000000" w:rsidRDefault="00000000" w:rsidRPr="00000000" w14:paraId="00000057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 соответствии с Регламентирующими документами Регистратуры .SU процедура переноса (трансфера) доменных имен второго уровня в домене .SU к иному регистратору осуществляется следующим образом:</w:t>
      </w:r>
    </w:p>
    <w:p w:rsidR="00000000" w:rsidDel="00000000" w:rsidP="00000000" w:rsidRDefault="00000000" w:rsidRPr="00000000" w14:paraId="0000005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Администратор направляет Регистратору заявку на передачу поддержки сведений о доменном имени по форме, размещенной на веб-сайте соответствующего Регистратора.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Регистратор проверяет наличие ограничений, препятствующих осуществлению процедуры, при необходимости запрашивая у администратора недостающие сведения или документы. Общий срок проведения проверки, с учетом срока на предоставление администратором запрошенной информации, не может превышать 30 (тридцать) календарных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случае отсутствия препятствий и ограничений, текущий Регистратор (регистратор-донор) в течение 3 (трех) рабочих дней выполняет действия, необходимые для передачи поддержки доменного имени, в том числе вносит соответствующую информацию в Реестр, в том числе указывает идентификатор принимающего регистратора, выбранного администратором, и уведомляет об этом администратора по электронной почте.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результате обработки Реестром заявки регистратора-донора создается заявка на передачу (трансфер) домена принимающему регистратору.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С момента получения Реестром заявки на прием домена от принимающего регистратора в Реестр вносятся соответствующие изменения, и процедура считается завершенной.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Регистраторы закрепили требования Регламентирующих документов, регулирующих передачу поддержки сведений о доменных именах между регистраторами, в соответствующих договорах об оказании услуг, размещенных на официальных веб-сайтах Регистраторов в сети Интернет:</w:t>
      </w:r>
    </w:p>
    <w:p w:rsidR="00000000" w:rsidDel="00000000" w:rsidP="00000000" w:rsidRDefault="00000000" w:rsidRPr="00000000" w14:paraId="0000006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"/>
        <w:gridCol w:w="2699"/>
        <w:gridCol w:w="6237"/>
        <w:tblGridChange w:id="0">
          <w:tblGrid>
            <w:gridCol w:w="410"/>
            <w:gridCol w:w="2699"/>
            <w:gridCol w:w="623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НАИМЕНОВАНИЕ, ИНН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ДОГОВОР ОБ ОКАЗАНИИ УСЛУГ,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 Т.Ч. ПРИЛОЖЕНИЯ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АО «РСИЦ»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7733573894)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https://www.nic.ru/help/dogovor-ob-okazanii-uslug-(indeks-nic-d)_6097.html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«Регистратор Р01»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7728365391)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https://help.r01.ru/documents/contract.html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«СпейсВэб»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7813376370)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  <w:highlight w:val="yellow"/>
              </w:rPr>
            </w:pPr>
            <w:hyperlink r:id="rId10">
              <w:r w:rsidDel="00000000" w:rsidR="00000000" w:rsidRPr="00000000">
                <w:rPr>
                  <w:color w:val="0563c1"/>
                  <w:sz w:val="20"/>
                  <w:szCs w:val="20"/>
                  <w:u w:val="single"/>
                  <w:rtl w:val="0"/>
                </w:rPr>
                <w:t xml:space="preserve">https://spacewebdomains.ru/contract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«РЕГ.РУ Домены Хостинг»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</w:t>
            </w:r>
            <w:r w:rsidDel="00000000" w:rsidR="00000000" w:rsidRPr="00000000">
              <w:rPr>
                <w:color w:val="202124"/>
                <w:sz w:val="22"/>
                <w:szCs w:val="22"/>
                <w:highlight w:val="white"/>
                <w:rtl w:val="0"/>
              </w:rPr>
              <w:t xml:space="preserve">6312068502);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http://www.regplanet.ru/docs/retail_offer.docx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http://www.regplanet.ru/docs/legal_entity.docx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https://www.reg.ru/legal/company3_oferta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«Специальный регистратор доменных имен и почтовых сервисов»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7714666310)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http://personal-n.ru/aggreement/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«Бестрег» 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</w:t>
            </w:r>
            <w:r w:rsidDel="00000000" w:rsidR="00000000" w:rsidRPr="00000000">
              <w:rPr>
                <w:color w:val="202124"/>
                <w:sz w:val="22"/>
                <w:szCs w:val="22"/>
                <w:highlight w:val="white"/>
                <w:rtl w:val="0"/>
              </w:rPr>
              <w:t xml:space="preserve">6316268823)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https://www.bestreg24.ru/docs/retail_offer.pdf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«Бигрег» 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</w:t>
            </w:r>
            <w:r w:rsidDel="00000000" w:rsidR="00000000" w:rsidRPr="00000000">
              <w:rPr>
                <w:color w:val="555555"/>
                <w:sz w:val="22"/>
                <w:szCs w:val="22"/>
                <w:highlight w:val="white"/>
                <w:rtl w:val="0"/>
              </w:rPr>
              <w:t xml:space="preserve">6316271463)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https://www.bigreg24.ru/docs/retail_offer.pdf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«Вебрег» 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</w:t>
            </w:r>
            <w:r w:rsidDel="00000000" w:rsidR="00000000" w:rsidRPr="00000000">
              <w:rPr>
                <w:color w:val="202124"/>
                <w:sz w:val="22"/>
                <w:szCs w:val="22"/>
                <w:highlight w:val="white"/>
                <w:rtl w:val="0"/>
              </w:rPr>
              <w:t xml:space="preserve">7714465815)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https://webreg24.ru/docs/retail_offer.pdf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«Доменхост» (ИНН </w:t>
            </w:r>
            <w:r w:rsidDel="00000000" w:rsidR="00000000" w:rsidRPr="00000000">
              <w:rPr>
                <w:color w:val="202124"/>
                <w:sz w:val="22"/>
                <w:szCs w:val="22"/>
                <w:highlight w:val="white"/>
                <w:rtl w:val="0"/>
              </w:rPr>
              <w:t xml:space="preserve">6316268710)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https://www.regdomainhost.ru/docs/retail_offer.pdf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«Кликрег» (ИНН </w:t>
            </w:r>
            <w:r w:rsidDel="00000000" w:rsidR="00000000" w:rsidRPr="00000000">
              <w:rPr>
                <w:color w:val="202124"/>
                <w:sz w:val="22"/>
                <w:szCs w:val="22"/>
                <w:highlight w:val="white"/>
                <w:rtl w:val="0"/>
              </w:rPr>
              <w:t xml:space="preserve">7714465822)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https://www.clickreg.ru/docs/retail_offer.pdf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«Кликхост”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</w:t>
            </w:r>
            <w:r w:rsidDel="00000000" w:rsidR="00000000" w:rsidRPr="00000000">
              <w:rPr>
                <w:color w:val="202124"/>
                <w:sz w:val="22"/>
                <w:szCs w:val="22"/>
                <w:highlight w:val="white"/>
                <w:rtl w:val="0"/>
              </w:rPr>
              <w:t xml:space="preserve">7714465526)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https://www.clickhost24.ru/docs/retail_offer.pdf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«Опенрег» 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6316268728)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https://www.open-reg.ru/docs/retail_offer.pdf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«Примахост» (ИНН 7714465808)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https://www.prima-host.ru/docs/retail_offer.pdf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«Телехост» 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6316271431)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https://www.telehost24.ru/docs/retail_offer.pdf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«Доменсервис» (ИНН 6316265163)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https://www.domenservice.ru/docs/retail_offer.pdf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«Телеборд»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(ИНН 6316264956)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https://www.telebord24.ru/docs/retail_offer.pdf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«Топдомен»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(ИНН 6316264970)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https://www.topdomenreg24.ru/docs/retail_offer.pdf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АО «Система дата-центров»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(ИНН 7716830904)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color w:val="0563c1"/>
                  <w:sz w:val="22"/>
                  <w:szCs w:val="22"/>
                  <w:u w:val="single"/>
                  <w:rtl w:val="0"/>
                </w:rPr>
                <w:t xml:space="preserve">http://telehouse.caravan.ru/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«2ДОМЕЙНС.РУ» (ИНН </w:t>
            </w:r>
            <w:r w:rsidDel="00000000" w:rsidR="00000000" w:rsidRPr="00000000">
              <w:rPr>
                <w:color w:val="202124"/>
                <w:sz w:val="22"/>
                <w:szCs w:val="22"/>
                <w:highlight w:val="white"/>
                <w:rtl w:val="0"/>
              </w:rPr>
              <w:t xml:space="preserve">7714592700)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https://2domains.ru/help/offer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93" w:hanging="36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ООО «Регистратор доменных имен РЕГ.РУ» (ИНН 7733568767)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https://www.reg.ru/legal/retail_oferta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B3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Настоящие Условия являются локальным нормативным актом Общества долгосрочного действия, который утверждается приказом Генерального директора Общества.</w:t>
      </w:r>
    </w:p>
    <w:p w:rsidR="00000000" w:rsidDel="00000000" w:rsidP="00000000" w:rsidRDefault="00000000" w:rsidRPr="00000000" w14:paraId="000000B5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Настоящие Условия являются обязательными для исполнения всеми входящими в одну группу лиц с Обществом Регистраторами (о чем Регистраторами принимаются соответствующие приказы, являющиеся их локальными нормативными актами). Регистраторы обязаны обеспечивать соответствие договоров об оказании услуг и иных документов Регистраторов требованиям настоящих Условий и условиям Коммерческой политики.</w:t>
      </w:r>
    </w:p>
    <w:p w:rsidR="00000000" w:rsidDel="00000000" w:rsidP="00000000" w:rsidRDefault="00000000" w:rsidRPr="00000000" w14:paraId="000000B7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Общество может вносить изменения и дополнения в настоящие Условия в соответствии с изменениями законодательства Российской Федерации. Изменения и дополнения вносятся приказом Генерального директора Общества и не позднее 30 (тридцати) календарных дней направляются в Федеральную антимонопольную службу (ФАС России).</w:t>
      </w:r>
    </w:p>
    <w:p w:rsidR="00000000" w:rsidDel="00000000" w:rsidP="00000000" w:rsidRDefault="00000000" w:rsidRPr="00000000" w14:paraId="000000B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Настоящие Условия, а также изменения к ним вступают в силу с даты, указанной в приказе об утверждении Условий (изменений к ним). Настоящие Условия, а также изменения к ним применяются к отношениям между Регистраторами и потребителями (клиентами Регистраторов), возникающими с даты вступления в силу Условий (изменений к ним).</w:t>
      </w:r>
    </w:p>
    <w:p w:rsidR="00000000" w:rsidDel="00000000" w:rsidP="00000000" w:rsidRDefault="00000000" w:rsidRPr="00000000" w14:paraId="000000BB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Контроль за соблюдением настоящих Условий возлагается на генерального директора Общества.</w:t>
      </w:r>
    </w:p>
    <w:p w:rsidR="00000000" w:rsidDel="00000000" w:rsidP="00000000" w:rsidRDefault="00000000" w:rsidRPr="00000000" w14:paraId="000000B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Ответственность за выполнение требований настоящих Условий несут все сотрудники Общества и Регистраторов, к чьей компетенции относится перенос (трансфер) доменных имен к иному регистратору.</w:t>
      </w:r>
    </w:p>
    <w:p w:rsidR="00000000" w:rsidDel="00000000" w:rsidP="00000000" w:rsidRDefault="00000000" w:rsidRPr="00000000" w14:paraId="000000BF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Несоблюдение требований настоящих Условий может повлечь применение к сотруднику мер дисциплинарной ответственности в соответствии с внутренними актами Общества и соответствующего Регистратора, а также действующим трудовым законодательством Российской Федерации.</w:t>
      </w:r>
    </w:p>
    <w:p w:rsidR="00000000" w:rsidDel="00000000" w:rsidP="00000000" w:rsidRDefault="00000000" w:rsidRPr="00000000" w14:paraId="000000C1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Настоящие Условия подлежат публикации на официальном веб-сайте Общества и каждого из Регистраторов.</w:t>
      </w:r>
    </w:p>
    <w:sectPr>
      <w:headerReference r:id="rId27" w:type="default"/>
      <w:headerReference r:id="rId28" w:type="first"/>
      <w:headerReference r:id="rId29" w:type="even"/>
      <w:footerReference r:id="rId30" w:type="default"/>
      <w:footerReference r:id="rId31" w:type="first"/>
      <w:footerReference r:id="rId3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3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Автономная некоммерческая организация «Координационный центр национального домена сети Интернет», </w:t>
      </w:r>
      <w:hyperlink r:id="rId1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https://cctld.ru/</w:t>
        </w:r>
      </w:hyperlink>
      <w:r w:rsidDel="00000000" w:rsidR="00000000" w:rsidRPr="00000000">
        <w:rPr>
          <w:sz w:val="18"/>
          <w:szCs w:val="18"/>
          <w:rtl w:val="0"/>
        </w:rPr>
        <w:t xml:space="preserve">, Регламентирующие документы: </w:t>
      </w:r>
      <w:hyperlink r:id="rId2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https://cctld.ru/domains/docs/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0C4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Автономная некоммерческая организация «Российский научно-исследовательский Институт развития общественных сетей», </w:t>
      </w:r>
      <w:hyperlink r:id="rId3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https://ripn.su/</w:t>
        </w:r>
      </w:hyperlink>
      <w:r w:rsidDel="00000000" w:rsidR="00000000" w:rsidRPr="00000000">
        <w:rPr>
          <w:sz w:val="18"/>
          <w:szCs w:val="18"/>
          <w:rtl w:val="0"/>
        </w:rPr>
        <w:t xml:space="preserve">, Регламентирующие документы: </w:t>
      </w:r>
      <w:hyperlink r:id="rId4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https://ripn.su/domen-su/kak-stat-registratorom/</w:t>
        </w:r>
      </w:hyperlink>
      <w:r w:rsidDel="00000000" w:rsidR="00000000" w:rsidRPr="00000000">
        <w:rPr>
          <w:sz w:val="18"/>
          <w:szCs w:val="18"/>
          <w:rtl w:val="0"/>
        </w:rPr>
        <w:t xml:space="preserve">  </w:t>
      </w:r>
    </w:p>
  </w:footnote>
  <w:footnote w:id="2">
    <w:p w:rsidR="00000000" w:rsidDel="00000000" w:rsidP="00000000" w:rsidRDefault="00000000" w:rsidRPr="00000000" w14:paraId="000000C5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Правила регистрации доменных имен в доменах .RU и .РФ, утверждены решением № 2011-18/81 от 05.10.2011 г. и размещены по адресу: </w:t>
      </w:r>
      <w:hyperlink r:id="rId5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https://cctld.ru/files/pdf/docs/rules_ru-rf.pdf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C6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Правила регистрации доменных имен в домене .SU, утверждены приказом № РОС-08/66 от 14.07.2020 г. и размещены по адресу: </w:t>
      </w:r>
      <w:hyperlink r:id="rId6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https://ripn.su/wp-content/uploads/rules_su.pdf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</w:footnote>
  <w:footnote w:id="4">
    <w:p w:rsidR="00000000" w:rsidDel="00000000" w:rsidP="00000000" w:rsidRDefault="00000000" w:rsidRPr="00000000" w14:paraId="000000C7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Регламент «О процедуре, подлежащей применению при передаче поддержки сведений о доменном имени между регистраторами», утвержден решением № 2015-09/60 от 03.12.2015 г. и размещен по адресу: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https://cctld.ru/files/pdf/docs/regl_transfer.pdf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</w:footnote>
  <w:footnote w:id="5">
    <w:p w:rsidR="00000000" w:rsidDel="00000000" w:rsidP="00000000" w:rsidRDefault="00000000" w:rsidRPr="00000000" w14:paraId="000000C8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Регламент передачи поддержки сведений о доменном имени между регистраторами, утвержден приказом № РОС-08/66 от 14.07.2020 г. и размещен по адресу: </w:t>
      </w:r>
      <w:hyperlink r:id="rId8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https://ripn.su/wp-content/uploads/transfer_su.pdf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720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2509" w:right="0" w:hanging="18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3229" w:right="0" w:hanging="36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3949" w:right="0" w:hanging="36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4669" w:right="0" w:hanging="18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4C5D7F"/>
  </w:style>
  <w:style w:type="paragraph" w:styleId="1">
    <w:name w:val="heading 1"/>
    <w:aliases w:val=" Знак1 Знак1,Знак1 Знак1"/>
    <w:next w:val="2"/>
    <w:link w:val="10"/>
    <w:uiPriority w:val="9"/>
    <w:qFormat w:val="1"/>
    <w:rsid w:val="00FF73E4"/>
    <w:pPr>
      <w:keepNext w:val="1"/>
      <w:numPr>
        <w:numId w:val="4"/>
      </w:numPr>
      <w:spacing w:after="120" w:before="360"/>
      <w:jc w:val="both"/>
      <w:outlineLvl w:val="0"/>
    </w:pPr>
    <w:rPr>
      <w:rFonts w:ascii="Arial" w:hAnsi="Arial"/>
      <w:b w:val="1"/>
      <w:sz w:val="32"/>
      <w:szCs w:val="20"/>
    </w:rPr>
  </w:style>
  <w:style w:type="paragraph" w:styleId="2">
    <w:name w:val="heading 2"/>
    <w:aliases w:val="Заголовок 2 Знак1,Заголовок 2 Знак Знак,Заголовок 2 Знак1 Знак1 Знак,Заголовок 2 Знак Знак Знак1 Знак,Заголовок 2 Знак2 Знак Знак Знак Знак,Заголовок 2 Знак1 Знак Знак Знак Знак Знак,Заголовок 2 Знак Знак Знак Знак Знак Знак Знак,B Sub/Bold"/>
    <w:link w:val="20"/>
    <w:uiPriority w:val="9"/>
    <w:semiHidden w:val="1"/>
    <w:unhideWhenUsed w:val="1"/>
    <w:qFormat w:val="1"/>
    <w:rsid w:val="00FF73E4"/>
    <w:pPr>
      <w:spacing w:before="120"/>
      <w:jc w:val="both"/>
      <w:outlineLvl w:val="1"/>
    </w:pPr>
    <w:rPr>
      <w:rFonts w:ascii="Arial" w:hAnsi="Arial"/>
      <w:b w:val="1"/>
      <w:szCs w:val="20"/>
    </w:rPr>
  </w:style>
  <w:style w:type="paragraph" w:styleId="3">
    <w:name w:val="heading 3"/>
    <w:aliases w:val=" Char,Char"/>
    <w:link w:val="30"/>
    <w:uiPriority w:val="9"/>
    <w:semiHidden w:val="1"/>
    <w:unhideWhenUsed w:val="1"/>
    <w:qFormat w:val="1"/>
    <w:rsid w:val="00FF73E4"/>
    <w:pPr>
      <w:numPr>
        <w:ilvl w:val="2"/>
        <w:numId w:val="4"/>
      </w:numPr>
      <w:spacing w:before="60"/>
      <w:ind w:left="2509"/>
      <w:jc w:val="both"/>
      <w:outlineLvl w:val="2"/>
    </w:pPr>
    <w:rPr>
      <w:rFonts w:ascii="Arial" w:hAnsi="Arial"/>
    </w:rPr>
  </w:style>
  <w:style w:type="paragraph" w:styleId="4">
    <w:name w:val="heading 4"/>
    <w:link w:val="40"/>
    <w:uiPriority w:val="9"/>
    <w:semiHidden w:val="1"/>
    <w:unhideWhenUsed w:val="1"/>
    <w:qFormat w:val="1"/>
    <w:rsid w:val="00FF73E4"/>
    <w:pPr>
      <w:numPr>
        <w:ilvl w:val="3"/>
        <w:numId w:val="4"/>
      </w:numPr>
      <w:spacing w:before="60"/>
      <w:ind w:left="3229"/>
      <w:jc w:val="both"/>
      <w:outlineLvl w:val="3"/>
    </w:pPr>
    <w:rPr>
      <w:rFonts w:ascii="Arial" w:hAnsi="Arial"/>
      <w:b w:val="1"/>
    </w:rPr>
  </w:style>
  <w:style w:type="paragraph" w:styleId="5">
    <w:name w:val="heading 5"/>
    <w:link w:val="50"/>
    <w:uiPriority w:val="9"/>
    <w:semiHidden w:val="1"/>
    <w:unhideWhenUsed w:val="1"/>
    <w:qFormat w:val="1"/>
    <w:rsid w:val="00FF73E4"/>
    <w:pPr>
      <w:numPr>
        <w:ilvl w:val="4"/>
        <w:numId w:val="4"/>
      </w:numPr>
      <w:spacing w:before="60"/>
      <w:ind w:left="3949"/>
      <w:jc w:val="both"/>
      <w:outlineLvl w:val="4"/>
    </w:pPr>
    <w:rPr>
      <w:rFonts w:ascii="Arial" w:cs="Arial" w:hAnsi="Arial"/>
    </w:rPr>
  </w:style>
  <w:style w:type="paragraph" w:styleId="6">
    <w:name w:val="heading 6"/>
    <w:link w:val="60"/>
    <w:uiPriority w:val="9"/>
    <w:semiHidden w:val="1"/>
    <w:unhideWhenUsed w:val="1"/>
    <w:qFormat w:val="1"/>
    <w:rsid w:val="00FF73E4"/>
    <w:pPr>
      <w:numPr>
        <w:ilvl w:val="5"/>
        <w:numId w:val="4"/>
      </w:numPr>
      <w:spacing w:before="60"/>
      <w:ind w:left="4669"/>
      <w:jc w:val="both"/>
      <w:outlineLvl w:val="5"/>
    </w:pPr>
    <w:rPr>
      <w:rFonts w:ascii="Arial" w:cs="Arial" w:hAnsi="Arial"/>
    </w:rPr>
  </w:style>
  <w:style w:type="paragraph" w:styleId="7">
    <w:name w:val="heading 7"/>
    <w:link w:val="70"/>
    <w:uiPriority w:val="99"/>
    <w:qFormat w:val="1"/>
    <w:rsid w:val="00FF73E4"/>
    <w:pPr>
      <w:numPr>
        <w:ilvl w:val="6"/>
        <w:numId w:val="4"/>
      </w:numPr>
      <w:spacing w:before="60"/>
      <w:ind w:left="5389"/>
      <w:jc w:val="both"/>
      <w:outlineLvl w:val="6"/>
    </w:pPr>
    <w:rPr>
      <w:rFonts w:ascii="Arial" w:cs="Arial" w:hAnsi="Arial"/>
    </w:rPr>
  </w:style>
  <w:style w:type="paragraph" w:styleId="8">
    <w:name w:val="heading 8"/>
    <w:link w:val="80"/>
    <w:uiPriority w:val="99"/>
    <w:qFormat w:val="1"/>
    <w:rsid w:val="00FF73E4"/>
    <w:pPr>
      <w:numPr>
        <w:ilvl w:val="7"/>
        <w:numId w:val="4"/>
      </w:numPr>
      <w:spacing w:before="60"/>
      <w:ind w:left="6109"/>
      <w:jc w:val="both"/>
      <w:outlineLvl w:val="7"/>
    </w:pPr>
    <w:rPr>
      <w:rFonts w:ascii="Arial" w:hAnsi="Arial"/>
      <w:szCs w:val="20"/>
    </w:rPr>
  </w:style>
  <w:style w:type="paragraph" w:styleId="9">
    <w:name w:val="heading 9"/>
    <w:link w:val="90"/>
    <w:uiPriority w:val="99"/>
    <w:qFormat w:val="1"/>
    <w:rsid w:val="00FF73E4"/>
    <w:pPr>
      <w:numPr>
        <w:ilvl w:val="8"/>
        <w:numId w:val="4"/>
      </w:numPr>
      <w:spacing w:before="60"/>
      <w:ind w:left="6829"/>
      <w:jc w:val="both"/>
      <w:outlineLvl w:val="8"/>
    </w:pPr>
    <w:rPr>
      <w:rFonts w:ascii="Arial" w:hAnsi="Arial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644CF0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Body Text"/>
    <w:link w:val="a6"/>
    <w:uiPriority w:val="99"/>
    <w:rsid w:val="00644CF0"/>
    <w:pPr>
      <w:tabs>
        <w:tab w:val="left" w:pos="284"/>
      </w:tabs>
      <w:spacing w:after="60" w:before="60"/>
      <w:ind w:left="284" w:firstLine="425"/>
      <w:jc w:val="both"/>
    </w:pPr>
    <w:rPr>
      <w:rFonts w:ascii="Arial" w:cs="Arial" w:hAnsi="Arial"/>
    </w:rPr>
  </w:style>
  <w:style w:type="character" w:styleId="a6" w:customStyle="1">
    <w:name w:val="Основной текст Знак"/>
    <w:basedOn w:val="a0"/>
    <w:link w:val="a5"/>
    <w:uiPriority w:val="99"/>
    <w:rsid w:val="00644CF0"/>
    <w:rPr>
      <w:rFonts w:ascii="Arial" w:cs="Arial" w:eastAsia="Times New Roman" w:hAnsi="Arial"/>
      <w:sz w:val="24"/>
      <w:szCs w:val="24"/>
    </w:rPr>
  </w:style>
  <w:style w:type="paragraph" w:styleId="a7" w:customStyle="1">
    <w:name w:val="Стиль Название + вправо"/>
    <w:basedOn w:val="a3"/>
    <w:rsid w:val="00644CF0"/>
    <w:pPr>
      <w:widowControl w:val="0"/>
      <w:spacing w:after="120" w:before="240"/>
      <w:contextualSpacing w:val="0"/>
      <w:jc w:val="right"/>
    </w:pPr>
    <w:rPr>
      <w:rFonts w:ascii="Arial" w:cs="Times New Roman" w:eastAsia="Times New Roman" w:hAnsi="Arial"/>
      <w:b w:val="1"/>
      <w:bCs w:val="1"/>
      <w:spacing w:val="0"/>
      <w:kern w:val="0"/>
      <w:sz w:val="36"/>
      <w:szCs w:val="20"/>
      <w:lang w:eastAsia="en-US"/>
    </w:rPr>
  </w:style>
  <w:style w:type="character" w:styleId="a4" w:customStyle="1">
    <w:name w:val="Заголовок Знак"/>
    <w:basedOn w:val="a0"/>
    <w:link w:val="a3"/>
    <w:uiPriority w:val="10"/>
    <w:rsid w:val="00644CF0"/>
    <w:rPr>
      <w:rFonts w:asciiTheme="majorHAnsi" w:cstheme="majorBidi" w:eastAsiaTheme="majorEastAsia" w:hAnsiTheme="majorHAnsi"/>
      <w:spacing w:val="-10"/>
      <w:kern w:val="28"/>
      <w:sz w:val="56"/>
      <w:szCs w:val="56"/>
      <w:lang w:eastAsia="ru-RU"/>
    </w:rPr>
  </w:style>
  <w:style w:type="paragraph" w:styleId="a8">
    <w:name w:val="List Paragraph"/>
    <w:aliases w:val="List numerotee"/>
    <w:basedOn w:val="a"/>
    <w:uiPriority w:val="34"/>
    <w:qFormat w:val="1"/>
    <w:rsid w:val="00156070"/>
    <w:pPr>
      <w:ind w:left="720"/>
      <w:contextualSpacing w:val="1"/>
    </w:pPr>
  </w:style>
  <w:style w:type="character" w:styleId="10" w:customStyle="1">
    <w:name w:val="Заголовок 1 Знак"/>
    <w:aliases w:val=" Знак1 Знак1 Знак,Знак1 Знак1 Знак"/>
    <w:basedOn w:val="a0"/>
    <w:link w:val="1"/>
    <w:rsid w:val="00FF73E4"/>
    <w:rPr>
      <w:rFonts w:ascii="Arial" w:cs="Times New Roman" w:eastAsia="Times New Roman" w:hAnsi="Arial"/>
      <w:b w:val="1"/>
      <w:sz w:val="32"/>
      <w:szCs w:val="20"/>
    </w:rPr>
  </w:style>
  <w:style w:type="character" w:styleId="20" w:customStyle="1">
    <w:name w:val="Заголовок 2 Знак"/>
    <w:aliases w:val="Заголовок 2 Знак1 Знак,Заголовок 2 Знак Знак Знак,Заголовок 2 Знак1 Знак1 Знак Знак,Заголовок 2 Знак Знак Знак1 Знак Знак,Заголовок 2 Знак2 Знак Знак Знак Знак Знак,Заголовок 2 Знак1 Знак Знак Знак Знак Знак Знак,B Sub/Bold Знак"/>
    <w:basedOn w:val="a0"/>
    <w:link w:val="2"/>
    <w:rsid w:val="00FF73E4"/>
    <w:rPr>
      <w:rFonts w:ascii="Arial" w:cs="Times New Roman" w:eastAsia="Times New Roman" w:hAnsi="Arial"/>
      <w:b w:val="1"/>
      <w:sz w:val="24"/>
      <w:szCs w:val="20"/>
    </w:rPr>
  </w:style>
  <w:style w:type="character" w:styleId="30" w:customStyle="1">
    <w:name w:val="Заголовок 3 Знак"/>
    <w:aliases w:val=" Char Знак,Char Знак"/>
    <w:basedOn w:val="a0"/>
    <w:link w:val="3"/>
    <w:rsid w:val="00FF73E4"/>
    <w:rPr>
      <w:rFonts w:ascii="Arial" w:cs="Times New Roman" w:eastAsia="Times New Roman" w:hAnsi="Arial"/>
      <w:sz w:val="24"/>
      <w:szCs w:val="24"/>
    </w:rPr>
  </w:style>
  <w:style w:type="character" w:styleId="40" w:customStyle="1">
    <w:name w:val="Заголовок 4 Знак"/>
    <w:basedOn w:val="a0"/>
    <w:link w:val="4"/>
    <w:uiPriority w:val="99"/>
    <w:rsid w:val="00FF73E4"/>
    <w:rPr>
      <w:rFonts w:ascii="Arial" w:cs="Times New Roman" w:eastAsia="Times New Roman" w:hAnsi="Arial"/>
      <w:b w:val="1"/>
      <w:sz w:val="24"/>
      <w:szCs w:val="24"/>
    </w:rPr>
  </w:style>
  <w:style w:type="character" w:styleId="50" w:customStyle="1">
    <w:name w:val="Заголовок 5 Знак"/>
    <w:basedOn w:val="a0"/>
    <w:link w:val="5"/>
    <w:uiPriority w:val="99"/>
    <w:rsid w:val="00FF73E4"/>
    <w:rPr>
      <w:rFonts w:ascii="Arial" w:cs="Arial" w:eastAsia="Times New Roman" w:hAnsi="Arial"/>
      <w:sz w:val="24"/>
      <w:szCs w:val="24"/>
    </w:rPr>
  </w:style>
  <w:style w:type="character" w:styleId="60" w:customStyle="1">
    <w:name w:val="Заголовок 6 Знак"/>
    <w:basedOn w:val="a0"/>
    <w:link w:val="6"/>
    <w:uiPriority w:val="99"/>
    <w:rsid w:val="00FF73E4"/>
    <w:rPr>
      <w:rFonts w:ascii="Arial" w:cs="Arial" w:eastAsia="Times New Roman" w:hAnsi="Arial"/>
      <w:sz w:val="24"/>
      <w:szCs w:val="24"/>
    </w:rPr>
  </w:style>
  <w:style w:type="character" w:styleId="70" w:customStyle="1">
    <w:name w:val="Заголовок 7 Знак"/>
    <w:basedOn w:val="a0"/>
    <w:link w:val="7"/>
    <w:uiPriority w:val="99"/>
    <w:rsid w:val="00FF73E4"/>
    <w:rPr>
      <w:rFonts w:ascii="Arial" w:cs="Arial" w:eastAsia="Times New Roman" w:hAnsi="Arial"/>
      <w:sz w:val="24"/>
      <w:szCs w:val="24"/>
    </w:rPr>
  </w:style>
  <w:style w:type="character" w:styleId="80" w:customStyle="1">
    <w:name w:val="Заголовок 8 Знак"/>
    <w:basedOn w:val="a0"/>
    <w:link w:val="8"/>
    <w:uiPriority w:val="99"/>
    <w:rsid w:val="00FF73E4"/>
    <w:rPr>
      <w:rFonts w:ascii="Arial" w:cs="Times New Roman" w:eastAsia="Times New Roman" w:hAnsi="Arial"/>
      <w:sz w:val="24"/>
      <w:szCs w:val="20"/>
    </w:rPr>
  </w:style>
  <w:style w:type="character" w:styleId="90" w:customStyle="1">
    <w:name w:val="Заголовок 9 Знак"/>
    <w:basedOn w:val="a0"/>
    <w:link w:val="9"/>
    <w:uiPriority w:val="99"/>
    <w:rsid w:val="00FF73E4"/>
    <w:rPr>
      <w:rFonts w:ascii="Arial" w:cs="Times New Roman" w:eastAsia="Times New Roman" w:hAnsi="Arial"/>
      <w:sz w:val="24"/>
      <w:szCs w:val="20"/>
    </w:rPr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c">
    <w:name w:val="annotation reference"/>
    <w:basedOn w:val="a0"/>
    <w:uiPriority w:val="99"/>
    <w:semiHidden w:val="1"/>
    <w:unhideWhenUsed w:val="1"/>
    <w:rsid w:val="00121EE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 w:val="1"/>
    <w:rsid w:val="00121EEA"/>
    <w:rPr>
      <w:sz w:val="20"/>
      <w:szCs w:val="20"/>
    </w:rPr>
  </w:style>
  <w:style w:type="character" w:styleId="ae" w:customStyle="1">
    <w:name w:val="Текст примечания Знак"/>
    <w:basedOn w:val="a0"/>
    <w:link w:val="ad"/>
    <w:uiPriority w:val="99"/>
    <w:rsid w:val="00121E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121EEA"/>
    <w:rPr>
      <w:b w:val="1"/>
      <w:bCs w:val="1"/>
    </w:rPr>
  </w:style>
  <w:style w:type="character" w:styleId="af0" w:customStyle="1">
    <w:name w:val="Тема примечания Знак"/>
    <w:basedOn w:val="ae"/>
    <w:link w:val="af"/>
    <w:uiPriority w:val="99"/>
    <w:semiHidden w:val="1"/>
    <w:rsid w:val="00121EEA"/>
    <w:rPr>
      <w:b w:val="1"/>
      <w:bCs w:val="1"/>
      <w:sz w:val="20"/>
      <w:szCs w:val="20"/>
    </w:rPr>
  </w:style>
  <w:style w:type="paragraph" w:styleId="af1">
    <w:name w:val="header"/>
    <w:basedOn w:val="a"/>
    <w:link w:val="af2"/>
    <w:uiPriority w:val="99"/>
    <w:unhideWhenUsed w:val="1"/>
    <w:rsid w:val="00172C84"/>
    <w:pPr>
      <w:tabs>
        <w:tab w:val="center" w:pos="4677"/>
        <w:tab w:val="right" w:pos="9355"/>
      </w:tabs>
    </w:pPr>
  </w:style>
  <w:style w:type="character" w:styleId="af2" w:customStyle="1">
    <w:name w:val="Верхний колонтитул Знак"/>
    <w:basedOn w:val="a0"/>
    <w:link w:val="af1"/>
    <w:uiPriority w:val="99"/>
    <w:rsid w:val="00172C84"/>
  </w:style>
  <w:style w:type="paragraph" w:styleId="af3">
    <w:name w:val="footer"/>
    <w:basedOn w:val="a"/>
    <w:link w:val="af4"/>
    <w:uiPriority w:val="99"/>
    <w:unhideWhenUsed w:val="1"/>
    <w:rsid w:val="00172C84"/>
    <w:pPr>
      <w:tabs>
        <w:tab w:val="center" w:pos="4677"/>
        <w:tab w:val="right" w:pos="9355"/>
      </w:tabs>
    </w:pPr>
  </w:style>
  <w:style w:type="character" w:styleId="af4" w:customStyle="1">
    <w:name w:val="Нижний колонтитул Знак"/>
    <w:basedOn w:val="a0"/>
    <w:link w:val="af3"/>
    <w:uiPriority w:val="99"/>
    <w:rsid w:val="00172C84"/>
  </w:style>
  <w:style w:type="character" w:styleId="af5">
    <w:name w:val="Hyperlink"/>
    <w:basedOn w:val="a0"/>
    <w:uiPriority w:val="99"/>
    <w:unhideWhenUsed w:val="1"/>
    <w:rsid w:val="00906C4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 w:val="1"/>
    <w:unhideWhenUsed w:val="1"/>
    <w:rsid w:val="00906C4D"/>
    <w:rPr>
      <w:color w:val="605e5c"/>
      <w:shd w:color="auto" w:fill="e1dfdd" w:val="clear"/>
    </w:rPr>
  </w:style>
  <w:style w:type="character" w:styleId="af7">
    <w:name w:val="FollowedHyperlink"/>
    <w:basedOn w:val="a0"/>
    <w:uiPriority w:val="99"/>
    <w:semiHidden w:val="1"/>
    <w:unhideWhenUsed w:val="1"/>
    <w:rsid w:val="008F138A"/>
    <w:rPr>
      <w:color w:val="954f72" w:themeColor="followedHyperlink"/>
      <w:u w:val="single"/>
    </w:rPr>
  </w:style>
  <w:style w:type="paragraph" w:styleId="af8">
    <w:name w:val="Revision"/>
    <w:hidden w:val="1"/>
    <w:uiPriority w:val="99"/>
    <w:semiHidden w:val="1"/>
    <w:rsid w:val="00E527DE"/>
  </w:style>
  <w:style w:type="table" w:styleId="af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elehost24.ru/docs/retail_offer.pdf" TargetMode="External"/><Relationship Id="rId22" Type="http://schemas.openxmlformats.org/officeDocument/2006/relationships/hyperlink" Target="https://www.telebord24.ru/docs/retail_offer.pdf" TargetMode="External"/><Relationship Id="rId21" Type="http://schemas.openxmlformats.org/officeDocument/2006/relationships/hyperlink" Target="https://www.domenservice.ru/docs/retail_offer.pdf" TargetMode="External"/><Relationship Id="rId24" Type="http://schemas.openxmlformats.org/officeDocument/2006/relationships/hyperlink" Target="http://telehouse.caravan.ru/" TargetMode="External"/><Relationship Id="rId23" Type="http://schemas.openxmlformats.org/officeDocument/2006/relationships/hyperlink" Target="https://www.topdomenreg24.ru/docs/retail_offer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help.r01.ru/documents/contract.html" TargetMode="External"/><Relationship Id="rId26" Type="http://schemas.openxmlformats.org/officeDocument/2006/relationships/hyperlink" Target="https://www.reg.ru/legal/retail_oferta" TargetMode="External"/><Relationship Id="rId25" Type="http://schemas.openxmlformats.org/officeDocument/2006/relationships/hyperlink" Target="https://2domains.ru/help/offer" TargetMode="External"/><Relationship Id="rId28" Type="http://schemas.openxmlformats.org/officeDocument/2006/relationships/header" Target="header3.xml"/><Relationship Id="rId27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eader" Target="header2.xml"/><Relationship Id="rId7" Type="http://schemas.openxmlformats.org/officeDocument/2006/relationships/customXml" Target="../customXML/item1.xml"/><Relationship Id="rId8" Type="http://schemas.openxmlformats.org/officeDocument/2006/relationships/hyperlink" Target="https://www.nic.ru/help/dogovor-ob-okazanii-uslug-(indeks-nic-d)_6097.html" TargetMode="External"/><Relationship Id="rId31" Type="http://schemas.openxmlformats.org/officeDocument/2006/relationships/footer" Target="footer2.xml"/><Relationship Id="rId30" Type="http://schemas.openxmlformats.org/officeDocument/2006/relationships/footer" Target="footer3.xml"/><Relationship Id="rId11" Type="http://schemas.openxmlformats.org/officeDocument/2006/relationships/hyperlink" Target="http://www.regplanet.ru/docs/retail_offer.docx" TargetMode="External"/><Relationship Id="rId10" Type="http://schemas.openxmlformats.org/officeDocument/2006/relationships/hyperlink" Target="https://spacewebdomains.ru/contract" TargetMode="External"/><Relationship Id="rId32" Type="http://schemas.openxmlformats.org/officeDocument/2006/relationships/footer" Target="footer1.xml"/><Relationship Id="rId13" Type="http://schemas.openxmlformats.org/officeDocument/2006/relationships/hyperlink" Target="https://www.reg.ru/legal/company3_oferta" TargetMode="External"/><Relationship Id="rId12" Type="http://schemas.openxmlformats.org/officeDocument/2006/relationships/hyperlink" Target="http://www.regplanet.ru/docs/legal_entity.docx" TargetMode="External"/><Relationship Id="rId15" Type="http://schemas.openxmlformats.org/officeDocument/2006/relationships/hyperlink" Target="https://www.bestreg24.ru/docs/retail_offer.pdf" TargetMode="External"/><Relationship Id="rId14" Type="http://schemas.openxmlformats.org/officeDocument/2006/relationships/hyperlink" Target="http://personal-n.ru/aggreement/" TargetMode="External"/><Relationship Id="rId17" Type="http://schemas.openxmlformats.org/officeDocument/2006/relationships/hyperlink" Target="https://www.regdomainhost.ru/docs/retail_offer.pdf" TargetMode="External"/><Relationship Id="rId16" Type="http://schemas.openxmlformats.org/officeDocument/2006/relationships/hyperlink" Target="https://www.bigreg24.ru/docs/retail_offer.pdf" TargetMode="External"/><Relationship Id="rId19" Type="http://schemas.openxmlformats.org/officeDocument/2006/relationships/hyperlink" Target="https://www.open-reg.ru/docs/retail_offer.pdf" TargetMode="External"/><Relationship Id="rId18" Type="http://schemas.openxmlformats.org/officeDocument/2006/relationships/hyperlink" Target="https://www.clickreg.ru/docs/retail_offer.pdf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cctld.ru/" TargetMode="External"/><Relationship Id="rId2" Type="http://schemas.openxmlformats.org/officeDocument/2006/relationships/hyperlink" Target="https://cctld.ru/domains/docs/" TargetMode="External"/><Relationship Id="rId3" Type="http://schemas.openxmlformats.org/officeDocument/2006/relationships/hyperlink" Target="https://ripn.su/" TargetMode="External"/><Relationship Id="rId4" Type="http://schemas.openxmlformats.org/officeDocument/2006/relationships/hyperlink" Target="https://ripn.su/domen-su/kak-stat-registratorom/" TargetMode="External"/><Relationship Id="rId5" Type="http://schemas.openxmlformats.org/officeDocument/2006/relationships/hyperlink" Target="https://cctld.ru/files/pdf/docs/rules_ru-rf.pdf" TargetMode="External"/><Relationship Id="rId6" Type="http://schemas.openxmlformats.org/officeDocument/2006/relationships/hyperlink" Target="https://ripn.su/wp-content/uploads/rules_su.pdf" TargetMode="External"/><Relationship Id="rId7" Type="http://schemas.openxmlformats.org/officeDocument/2006/relationships/hyperlink" Target="https://cctld.ru/files/pdf/docs/regl_transfer.pdf" TargetMode="External"/><Relationship Id="rId8" Type="http://schemas.openxmlformats.org/officeDocument/2006/relationships/hyperlink" Target="https://ripn.su/wp-content/uploads/transfer_s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EqSE5HUYzJtp+ljTRTgRkLkQg==">AMUW2mUE9Z85a3eRe09DczyNSs8ehUavMBbS9j4R82dshVAYxolxEC2T5hFmDgIG3CCelkz2EM7GwJeVed6EPBsmvNyaduTckBSb+MBaUhFV+blFx0kHsN3zVaLe9RjVI8svrVa/1uO3W0S69s8wsc6rc+9SHmmmnQ==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2021-12-09T13:47:00Z</dcterms:created>
  <dc:creator>Dzhan Chelenk</dc:creator>
</cp:coreProperties>
</file>